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Normal0"/>
        <w:spacing w:before="0" w:after="160"/>
        <w:jc w:val="center"/>
      </w:pPr>
      <w:r>
        <w:rPr>
          <w:rFonts w:ascii="Segoe UI" w:eastAsia="Segoe UI" w:hAnsi="Segoe UI" w:cs="Segoe UI"/>
          <w:b w:val="0"/>
          <w:bCs w:val="0"/>
          <w:i w:val="0"/>
          <w:iCs w:val="0"/>
          <w:strike w:val="0"/>
          <w:sz w:val="18"/>
          <w:szCs w:val="18"/>
          <w:u w:val="none"/>
          <w:bdr w:val="none" w:sz="0" w:space="0" w:color="auto"/>
        </w:rPr>
        <w:drawing>
          <wp:inline>
            <wp:extent cx="59436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  <w:t xml:space="preserve">Санаторий  «Парк Шафран»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</w:rPr>
        <w:t>ПЕРЕЧЕНЬ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Лечебно-диагностических процедур, входящих в санаторно-курортную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программу лечения   программу «Детокс-программа Upgrade Body» на 2025 г.</w:t>
      </w:r>
    </w:p>
    <w:p>
      <w:pPr>
        <w:pStyle w:val="Normal0"/>
        <w:spacing w:before="0" w:after="160"/>
        <w:jc w:val="right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/>
          <w:iCs/>
        </w:rPr>
        <w:t>Рекомендуемый срок лечения от 18 дней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                                       Возрастная категория от 18 лет</w:t>
      </w:r>
    </w:p>
    <w:tbl>
      <w:tblPr>
        <w:tblStyle w:val="TableNormal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1"/>
        <w:gridCol w:w="1242"/>
        <w:gridCol w:w="1588"/>
        <w:gridCol w:w="1588"/>
        <w:gridCol w:w="2026"/>
      </w:tblGrid>
      <w:tr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Количество процедур, стоимость программы без скидки</w:t>
            </w:r>
          </w:p>
        </w:tc>
      </w:tr>
      <w:tr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6-9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10-13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14-17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18-21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к/день</w:t>
            </w:r>
          </w:p>
        </w:tc>
      </w:tr>
      <w:t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Диагностический комплекс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(первичный)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Консультации узких специалистов * (по показаниям)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физиотерапевт;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инструктор ЛФК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крови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мочи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Биохимические исследование крови (глюкоза крови, инсулин, гликозилированный гемоглобин  HbA1c, общий холестерин,  ЛПНП,  ЛПОНП, триглицериды, ЛПВП, мочевая кислота, АлАТ, АсАТ, билирубин общий, билирубин прямой,  билирубин непрямой, С -реактивный белок, ревматоидный фактор, МНО)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Функциональная диагностика*: ЭКГ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Ультразвуковая диагностика с использованием с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истемы диагностической ультразвуковой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СONSONA N6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: УЗИ щитовидной железы, почек и надпочечников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Лечебный комплекс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ванны*   с использованием установки бальнеологической гидромассажной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 для подводного душ-массажа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показаниям): хвойные,  хвойно-жемчужные, серные, антиоксидантные, нафталановые, с ромашкой, с лавандой, с валерианой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души* использованием оборудования гидромассажного «Модерн»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     (циркулярный) или  Душ Виши или Душ Шарко.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Подводный душ массаж*  с использованием ванны бальнеологической гидромассажной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Ванна медицинская массажная вихревая для рук «Истра-Р»  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Пароуглекислая ванна «ОККЕРВИЛЬ-КОМБИ»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** Грязелечение (грязевые аппликации - 1 зона (одноименные зоны, суставы -  по показаниям) плечи или локти или  колени или  кисти или стопы или икроножные мышцы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Аппаратная физиотерапия*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Аппарат физиотерапевтический комбинированный BTL-4000  Premium с принадлежностями (одноканальная лазерная терапия);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 т.ч. амплипульс, электрофарез;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для прессотерапии и лимфодренажа Lympha Press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 (Premium) 2-канальная магнитотерапия;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коротковолновой терапии BTL-6000 SHORTWAVE 400 с принадлежностями УВЧ-терапия и индуктотермия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 медицинским показаниям)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Ручной массаж классический* (3 ед.)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Ингаляции*: с минеральной водой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Диетическое питание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Оздоровительный комплекс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Фитотерапия  (травяные чай по показаниям -  1 раз в день)*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18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Акватерапия (бассейн)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Термотерапия (финская сауна, хаммам)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Терренкур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Скандинавская ходьба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Климатолечение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</w:tbl>
    <w:p>
      <w:pPr>
        <w:pStyle w:val="Normal0"/>
        <w:spacing w:before="0" w:after="160"/>
        <w:jc w:val="both"/>
      </w:pPr>
      <w:r>
        <w:br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>
        <w:rPr>
          <w:rStyle w:val="DefaultParagraphFont0"/>
          <w:rFonts w:ascii="Times New Roman" w:eastAsia="Times New Roman" w:hAnsi="Times New Roman" w:cs="Times New Roman"/>
          <w:b/>
          <w:bCs/>
          <w:i/>
          <w:iCs/>
        </w:rPr>
        <w:t>Возможна замена лечебных процедур при наличии медицинских  противопоказаний у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** Зона грязелечения  определяется  врачом-терапевтом на первичном приеме.</w:t>
      </w: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  <w:rPr>
          <w:rStyle w:val="a"/>
        </w:rPr>
      </w:pPr>
      <w:bookmarkStart w:id="0" w:name="_Hlk157004517"/>
      <w:r>
        <w:rPr>
          <w:rStyle w:val="text001"/>
          <w:b w:val="0"/>
          <w:bCs w:val="0"/>
          <w:i w:val="0"/>
          <w:iCs w:val="0"/>
        </w:rPr>
        <w:t xml:space="preserve">Главный врач </w:t>
      </w:r>
      <w:r>
        <w:rPr>
          <w:rStyle w:val="a"/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Style w:val="text002"/>
          <w:b w:val="0"/>
          <w:bCs w:val="0"/>
          <w:i w:val="0"/>
          <w:iCs w:val="0"/>
        </w:rPr>
        <w:t xml:space="preserve"> Лисицын В.А.</w:t>
      </w:r>
      <w:bookmarkEnd w:id="0"/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sectPr>
      <w:pgSz w:w="11906" w:h="16838"/>
      <w:pgMar w:top="709" w:right="850" w:bottom="1134" w:left="1701" w:header="0" w:foo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text001">
    <w:name w:val="text001"/>
    <w:basedOn w:val="DefaultParagraphFont"/>
    <w:rPr>
      <w:rFonts w:ascii="Times New Roman" w:eastAsia="Times New Roman" w:hAnsi="Times New Roman" w:cs="Times New Roman"/>
    </w:rPr>
  </w:style>
  <w:style w:type="character" w:customStyle="1" w:styleId="a">
    <w:name w:val="a"/>
    <w:basedOn w:val="DefaultParagraphFont"/>
  </w:style>
  <w:style w:type="character" w:customStyle="1" w:styleId="text002">
    <w:name w:val="text002"/>
    <w:basedOn w:val="DefaultParagraphFont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508</Words>
  <Characters>3584</Characters>
  <Application>Microsoft Office Word</Application>
  <DocSecurity>0</DocSecurity>
  <Lines>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